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校字〔2022〕112号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关于印发《合肥城市学院课程试卷管理办法》的通知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《合肥城市学院课程试卷管理办法》业经校长办公会议审议通过，现予以印发，请遵照执行。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附件：合肥城市学院课程试卷管理办法</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spacing w:before="100" w:beforeAutospacing="1" w:after="100" w:afterAutospacing="1"/>
        <w:jc w:val="center"/>
        <w:rPr>
          <w:rFonts w:hint="eastAsia" w:ascii="宋体" w:hAnsi="宋体" w:cs="宋体"/>
          <w:b/>
          <w:bCs/>
          <w:kern w:val="0"/>
          <w:sz w:val="36"/>
          <w:szCs w:val="36"/>
        </w:rPr>
      </w:pPr>
      <w:r>
        <w:rPr>
          <w:rFonts w:hint="eastAsia" w:ascii="方正小标宋简体" w:hAnsi="方正小标宋简体" w:eastAsia="方正小标宋简体" w:cs="方正小标宋简体"/>
          <w:b/>
          <w:bCs/>
          <w:kern w:val="0"/>
          <w:sz w:val="44"/>
          <w:szCs w:val="44"/>
        </w:rPr>
        <w:t>合肥城市学院课程试卷管理办法</w:t>
      </w:r>
      <w:r>
        <w:rPr>
          <w:rFonts w:hint="eastAsia" w:ascii="宋体" w:hAnsi="宋体" w:cs="宋体"/>
          <w:b/>
          <w:bCs/>
          <w:kern w:val="0"/>
          <w:sz w:val="36"/>
          <w:szCs w:val="36"/>
        </w:rPr>
        <w:t xml:space="preserve"> </w:t>
      </w:r>
    </w:p>
    <w:p>
      <w:pPr>
        <w:keepNext w:val="0"/>
        <w:keepLines w:val="0"/>
        <w:pageBreakBefore w:val="0"/>
        <w:widowControl w:val="0"/>
        <w:kinsoku/>
        <w:wordWrap/>
        <w:overflowPunct/>
        <w:topLinePunct w:val="0"/>
        <w:autoSpaceDE/>
        <w:autoSpaceDN/>
        <w:bidi w:val="0"/>
        <w:adjustRightInd/>
        <w:snapToGrid/>
        <w:spacing w:before="120" w:beforeLines="5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为规范试卷管理工作，强化试卷的命题制作、评阅与分析、装订与存档，全面提升试卷的综合管理水平，保障试卷工作的科学化、制度化、规范化运行，促进教风学风建设，根据《合肥城市学院课程考核管理办法》和《合肥城市学院考试管理规定》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本办法所涉及的试卷是指按照培养方案中教学计划规定，课程考核方式为考试的相关课程试卷（开卷与闭卷两种）。补考试卷的管理按照本办法相关条款执行。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考查课程的试卷管理，由课程所属教学单位在参照本办法基础上，结合本单位实际制定相应的实施细则。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命题原则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科学性原则。命题教师在命题时应处理好知识与能力、理论与实践、重点与覆盖面的相互关系；试题无原则性错误，表达应该简明、准确、无差错或歧义。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合理性原则。试卷的内容、范围、深度均符合教学大纲的有关规定；试卷结构在题型、题量、难度、分值分配、认知层次比例方面分配合理；评分标准简洁、准确，便于把握。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有效性原则。组成试卷的试题具有代表性，既要重视考核学生对课程理论和基本技能的掌握，更要注重考核学生分析问题、解决问题的能力，准确衡量学生在概念、理解、应用、分析、综合、评价等方面的学习效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命题要求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试卷命题由承担本课程教学任务的课程组负责。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同一课程应实行教考分离，使用同一试卷统一进行考核。已建试卷库（试题库）的课程需要以抽取试卷库或组卷方式进行命题。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试题内容要符合教学大纲对知识、能力的基本要求，并体现课程的重点内容。命题教师应根据教学大纲的要求确定考核的知识点、分数权重等。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试卷编制要综合考虑试卷的总体难度、题量大小，做到难易适中、题量适当、有较为全面的知识覆盖面。知识覆盖面要求以大于或等于80%为宜，覆盖面可用以下公式计算：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知识覆盖面=（试卷覆盖的章节数/教学大纲要求的章节总数）×100%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第十一条 </w:t>
      </w:r>
      <w:r>
        <w:rPr>
          <w:rFonts w:hint="eastAsia" w:ascii="仿宋" w:hAnsi="仿宋" w:eastAsia="仿宋" w:cs="仿宋"/>
          <w:sz w:val="32"/>
          <w:szCs w:val="32"/>
        </w:rPr>
        <w:t>实行闭卷考试的课程，试题中基本知识、基本理论、基本技能（基本方法）即“三基”部分应占70%左右；综合性并有一定难度的应用占30%左右。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实行开卷考试的课程，试题中“三基”部分应占30%左右；综合性并有一定难度的应占70%左右。其中需具有一定比例的灵活性、提高性、前瞻性的试题，但以不超过20%为宜。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试题的题型应有客观题与主观题两大类，其结构比例原则上为：客观题50-70%，主观题30-50%。客观题一般包括选择题、填空题、是非题等，主观题一般包括名词解释、问答题、论述题、计算题、案例分析、设计题等，每套试卷应至少包括四种题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第十三条 </w:t>
      </w:r>
      <w:r>
        <w:rPr>
          <w:rFonts w:hint="eastAsia" w:ascii="仿宋" w:hAnsi="仿宋" w:eastAsia="仿宋" w:cs="仿宋"/>
          <w:sz w:val="32"/>
          <w:szCs w:val="32"/>
        </w:rPr>
        <w:t>每门课程需制定A、B两套试卷。两套试卷在题量、题型及难易程度等方面基本一致，试题重复率不得超过20%，与近四年同一课程的重复率不得超过50%。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两套试卷均需制作相应的参考答案和评分标准。参考答案和评分标准应简洁、准确，便于把握。客观试题答案应准确无误，主观试题参考答案要给出评分要点和评分细则。多种解法的试题要加以说明。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试题审批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命题结束后，需按学校规定的试卷样式打印制作，并由命题组填写《合肥城市学院命题审核审批表》，报课程所属教研室负责人审核和所在教学单位分管教学院长或院长助理审批。审批通过后确定一套试卷用于考试，另一套密封后由院（部）负责人在密封袋上签字作为备用试卷，用于学生补考或缓考。备用试卷由教学单位教学秘书保管。交付试卷时应按照程序办理试卷交付手续。</w:t>
      </w:r>
    </w:p>
    <w:p>
      <w:pPr>
        <w:keepNext w:val="0"/>
        <w:keepLines w:val="0"/>
        <w:pageBreakBefore w:val="0"/>
        <w:widowControl w:val="0"/>
        <w:tabs>
          <w:tab w:val="left" w:pos="7088"/>
        </w:tabs>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如命题教师为院（部）或教研室负责人，其试卷由院（部）副职或教学秘书审核。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院（部）教学秘书和教学单位教学负责人应严格对试卷进行审核、审批，发现问题及时提出质询，命题教师对质询需作出解释。对不符合要求的试卷，应退回命题组重新组织命题。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试卷评阅与分析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考试结束后，应在三个工作日内完成试卷的评阅工作。试卷的评阅应严格按照参考答案和评分标准进行。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sz w:val="32"/>
          <w:szCs w:val="32"/>
        </w:rPr>
        <w:t xml:space="preserve"> 凡由两名以上教师任课的同一门课程试卷评阅工作，要由课程所属教研室组织集体阅卷。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试卷评阅后，各教学单位要统一组织教师进行复查。试卷得分栏修改后，修改人需签字确认。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试卷评阅结束并经复核确保准确无误后，由任课教师报送、登录学生成绩，并登记在教学日志上。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任课教师报送、登录完学生成绩后，需填写《合肥城市学院试卷分析表》，试卷分析表应按教学班对学生考试卷面成绩分布情况和试卷题型、题量、分值分配、难度、区分度等进行全面分析。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第二十二条</w:t>
      </w:r>
      <w:r>
        <w:rPr>
          <w:rFonts w:hint="eastAsia" w:ascii="仿宋" w:hAnsi="仿宋" w:eastAsia="仿宋" w:cs="仿宋"/>
          <w:sz w:val="32"/>
          <w:szCs w:val="32"/>
        </w:rPr>
        <w:t xml:space="preserve"> 考试成绩原则上应符合正态分布规律，优秀率一般需在25%以内。若成绩不符合正态分布，任课教师应对此进行分析，提交原因说明，提出改进措施。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第二十三条</w:t>
      </w:r>
      <w:r>
        <w:rPr>
          <w:rFonts w:hint="eastAsia" w:ascii="仿宋" w:hAnsi="仿宋" w:eastAsia="仿宋" w:cs="仿宋"/>
          <w:sz w:val="32"/>
          <w:szCs w:val="32"/>
        </w:rPr>
        <w:t xml:space="preserve"> 每学期初教学单位应组织教师对上学期各考试课程的试卷全面检查，对命题质量和阅卷质量进行总体分析和评估。教务处随机抽取部分试卷进行检查、评估，评估结果在全校通报。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试卷保密与存档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第二十四条</w:t>
      </w:r>
      <w:r>
        <w:rPr>
          <w:rFonts w:hint="eastAsia" w:ascii="仿宋" w:hAnsi="仿宋" w:eastAsia="仿宋" w:cs="仿宋"/>
          <w:sz w:val="32"/>
          <w:szCs w:val="32"/>
        </w:rPr>
        <w:t xml:space="preserve"> 各教学单位在试卷管理各环节应认真做好保密工作，专人负责、专柜保管，未经许可任何人不得私自查阅、复制或转移试卷。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第二十五条</w:t>
      </w:r>
      <w:r>
        <w:rPr>
          <w:rFonts w:hint="eastAsia" w:ascii="仿宋" w:hAnsi="仿宋" w:eastAsia="仿宋" w:cs="仿宋"/>
          <w:sz w:val="32"/>
          <w:szCs w:val="32"/>
        </w:rPr>
        <w:t xml:space="preserve"> 命题教师应严格遵守学校考试相关保密规定，不得泄露试题内容。命题结束后，命题教师将试卷（A、B卷）分别交院（部）教学秘书审核和教学单位教学负责人审批。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第二十六条 </w:t>
      </w:r>
      <w:r>
        <w:rPr>
          <w:rFonts w:hint="eastAsia" w:ascii="仿宋" w:hAnsi="仿宋" w:eastAsia="仿宋" w:cs="仿宋"/>
          <w:sz w:val="32"/>
          <w:szCs w:val="32"/>
        </w:rPr>
        <w:t>院（部）教学秘书应将教学单位教学负责人审核审批通过后的两套试卷分别装袋、密封，并由命题教师、审核人和审批人分别在密封袋上签字确认。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第二十七条</w:t>
      </w:r>
      <w:r>
        <w:rPr>
          <w:rFonts w:hint="eastAsia" w:ascii="仿宋" w:hAnsi="仿宋" w:eastAsia="仿宋" w:cs="仿宋"/>
          <w:sz w:val="32"/>
          <w:szCs w:val="32"/>
        </w:rPr>
        <w:t xml:space="preserve"> 两套试卷分别密封后，抽中用于本次考试的试卷，由教学秘书送交教务处进行交接付印；另一套作为备用试卷，由院（部）教学秘书保管，用于学生补考或缓考。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第二十八条</w:t>
      </w:r>
      <w:r>
        <w:rPr>
          <w:rFonts w:hint="eastAsia" w:ascii="仿宋" w:hAnsi="仿宋" w:eastAsia="仿宋" w:cs="仿宋"/>
          <w:sz w:val="32"/>
          <w:szCs w:val="32"/>
        </w:rPr>
        <w:t xml:space="preserve"> 试卷印制结束后应装袋并加封印制单位密封条，由开课单位教学秘书到教务处统一领回并妥善保管。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第二十九条</w:t>
      </w:r>
      <w:r>
        <w:rPr>
          <w:rFonts w:hint="eastAsia" w:ascii="仿宋" w:hAnsi="仿宋" w:eastAsia="仿宋" w:cs="仿宋"/>
          <w:sz w:val="32"/>
          <w:szCs w:val="32"/>
        </w:rPr>
        <w:t xml:space="preserve"> 考试结束后，监考教师将考卷和多余的空白试卷（含缺考考生和备用余卷），一并移交给课程主考；课程主考需将考卷和考试材料及时交回课程组，由课程组组织教师阅卷。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第三十条</w:t>
      </w:r>
      <w:r>
        <w:rPr>
          <w:rFonts w:hint="eastAsia" w:ascii="仿宋" w:hAnsi="仿宋" w:eastAsia="仿宋" w:cs="仿宋"/>
          <w:sz w:val="32"/>
          <w:szCs w:val="32"/>
        </w:rPr>
        <w:t xml:space="preserve"> 考试结束后两周内，开课单位应组织教师将试卷以班级为单位，按照学号顺序进行排序后装订成册，并及时归档保存。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第三十一条</w:t>
      </w:r>
      <w:r>
        <w:rPr>
          <w:rFonts w:hint="eastAsia" w:ascii="仿宋" w:hAnsi="仿宋" w:eastAsia="仿宋" w:cs="仿宋"/>
          <w:sz w:val="32"/>
          <w:szCs w:val="32"/>
        </w:rPr>
        <w:t xml:space="preserve"> 试卷装订要求使用学校统一印制的试卷封面，封面内容应按照要求填写完整。试卷册内装订材料和顺序如下：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（1）考场记录单；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（2）学生签名表；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（3）学生成绩单；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（4）试卷分析表；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（5）标准答案和评分标准；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（6）样卷；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（7）批阅后的学生试卷。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第三十二条 </w:t>
      </w:r>
      <w:r>
        <w:rPr>
          <w:rFonts w:hint="eastAsia" w:ascii="仿宋" w:hAnsi="仿宋" w:eastAsia="仿宋" w:cs="仿宋"/>
          <w:sz w:val="32"/>
          <w:szCs w:val="32"/>
        </w:rPr>
        <w:t>各教学单位需在开学前三周内对上一学期的试卷进行整理，按照课程和教学班级顺序建立试卷归档目录，并移交给教务处有关人员。试卷应至少保存到学生毕业离校后四年。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第三十三条 </w:t>
      </w:r>
      <w:r>
        <w:rPr>
          <w:rFonts w:hint="eastAsia" w:ascii="仿宋" w:hAnsi="仿宋" w:eastAsia="仿宋" w:cs="仿宋"/>
          <w:sz w:val="32"/>
          <w:szCs w:val="32"/>
        </w:rPr>
        <w:t>违反上述有关规定，将根据《合肥城市学院教学事故认定与处理办法》予以处理。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第三十四条</w:t>
      </w:r>
      <w:r>
        <w:rPr>
          <w:rFonts w:hint="eastAsia" w:ascii="仿宋" w:hAnsi="仿宋" w:eastAsia="仿宋" w:cs="仿宋"/>
          <w:sz w:val="32"/>
          <w:szCs w:val="32"/>
        </w:rPr>
        <w:t xml:space="preserve"> 本办法自发布之日起施行，由教务处负责解释。</w:t>
      </w: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w:t>
      </w:r>
      <w:r>
        <w:rPr>
          <w:rFonts w:hint="eastAsia" w:ascii="仿宋" w:hAnsi="仿宋" w:eastAsia="仿宋" w:cs="仿宋"/>
          <w:sz w:val="32"/>
          <w:szCs w:val="32"/>
        </w:rPr>
        <w:t>合肥城市学院课程考核试卷命题审核、审批表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color w:val="FF0000"/>
          <w:sz w:val="32"/>
          <w:szCs w:val="32"/>
          <w:shd w:val="clear" w:color="auto" w:fill="FFFFFF"/>
        </w:rPr>
      </w:pPr>
    </w:p>
    <w:p>
      <w:pPr>
        <w:spacing w:line="640" w:lineRule="exact"/>
        <w:ind w:firstLine="5250" w:firstLineChars="1750"/>
        <w:rPr>
          <w:rFonts w:ascii="微软雅黑" w:eastAsia="微软雅黑"/>
          <w:color w:val="FF0000"/>
          <w:sz w:val="30"/>
          <w:szCs w:val="30"/>
          <w:shd w:val="clear" w:color="auto" w:fill="FFFFFF"/>
        </w:rPr>
      </w:pPr>
    </w:p>
    <w:p>
      <w:pPr>
        <w:spacing w:line="520" w:lineRule="exact"/>
        <w:rPr>
          <w:rFonts w:ascii="仿宋" w:hAnsi="仿宋" w:eastAsia="仿宋" w:cs="仿宋"/>
          <w:sz w:val="32"/>
          <w:szCs w:val="32"/>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jc w:val="both"/>
        <w:rPr>
          <w:rFonts w:hint="eastAsia" w:ascii="黑体" w:eastAsia="黑体"/>
          <w:sz w:val="36"/>
          <w:szCs w:val="36"/>
          <w:lang w:val="en-US" w:eastAsia="zh-CN"/>
        </w:rPr>
      </w:pPr>
      <w:r>
        <w:rPr>
          <w:rFonts w:hint="eastAsia" w:ascii="黑体" w:eastAsia="黑体"/>
          <w:sz w:val="36"/>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合肥城市学院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课程考核试卷命题审核、审批表</w:t>
      </w:r>
    </w:p>
    <w:p>
      <w:pPr>
        <w:rPr>
          <w:rFonts w:hint="eastAsia" w:ascii="黑体" w:eastAsia="黑体"/>
          <w:sz w:val="30"/>
          <w:szCs w:val="30"/>
        </w:rPr>
      </w:pPr>
      <w:r>
        <w:rPr>
          <w:rFonts w:hint="eastAsia" w:ascii="黑体" w:eastAsia="黑体"/>
          <w:sz w:val="18"/>
          <w:szCs w:val="18"/>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297180</wp:posOffset>
                </wp:positionV>
                <wp:extent cx="342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pt;margin-top:23.4pt;height:0pt;width:27pt;z-index:251663360;mso-width-relative:page;mso-height-relative:page;" filled="f" stroked="t" coordsize="21600,21600" o:gfxdata="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UGHtYAAAAJAQAADwAAAAAAAAABACAAAAAiAAAAZHJzL2Rvd25yZXYueG1sUEsBAhQA&#10;FAAAAAgAh07iQDJPXD30AQAA4wMAAA4AAAAAAAAAAQAgAAAAJQEAAGRycy9lMm9Eb2MueG1sUEsF&#10;BgAAAAAGAAYAWQEAAIsFAAAAAA==&#10;">
                <v:fill on="f" focussize="0,0"/>
                <v:stroke color="#000000" joinstyle="round"/>
                <v:imagedata o:title=""/>
                <o:lock v:ext="edit" aspectratio="f"/>
              </v:line>
            </w:pict>
          </mc:Fallback>
        </mc:AlternateContent>
      </w:r>
      <w:r>
        <w:rPr>
          <w:rFonts w:hint="eastAsia" w:ascii="黑体" w:eastAsia="黑体"/>
          <w:sz w:val="18"/>
          <w:szCs w:val="18"/>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297180</wp:posOffset>
                </wp:positionV>
                <wp:extent cx="342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23.4pt;height:0pt;width:27pt;z-index:251662336;mso-width-relative:page;mso-height-relative:page;" filled="f" stroked="t" coordsize="21600,21600" o:gfxdata="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riqHtUAAAAJAQAADwAAAAAAAAABACAAAAAiAAAAZHJzL2Rvd25yZXYueG1sUEsBAhQA&#10;FAAAAAgAh07iQExHvSz1AQAA4wMAAA4AAAAAAAAAAQAgAAAAJAEAAGRycy9lMm9Eb2MueG1sUEsF&#10;BgAAAAAGAAYAWQEAAIsFAAAAAA==&#10;">
                <v:fill on="f" focussize="0,0"/>
                <v:stroke color="#000000" joinstyle="round"/>
                <v:imagedata o:title=""/>
                <o:lock v:ext="edit" aspectratio="f"/>
              </v:line>
            </w:pict>
          </mc:Fallback>
        </mc:AlternateContent>
      </w:r>
      <w:r>
        <w:rPr>
          <w:rFonts w:hint="eastAsia" w:ascii="黑体" w:eastAsia="黑体"/>
          <w:sz w:val="18"/>
          <w:szCs w:val="18"/>
        </w:rPr>
        <w:t xml:space="preserve">                    </w:t>
      </w:r>
      <w:r>
        <w:rPr>
          <w:rFonts w:hint="eastAsia" w:ascii="黑体" w:eastAsia="黑体"/>
          <w:sz w:val="30"/>
          <w:szCs w:val="30"/>
        </w:rPr>
        <w:t xml:space="preserve"> 20      -20      学年第</w:t>
      </w:r>
      <w:r>
        <w:rPr>
          <w:rFonts w:hint="eastAsia" w:ascii="黑体" w:eastAsia="黑体"/>
          <w:sz w:val="30"/>
          <w:szCs w:val="30"/>
          <w:u w:val="single"/>
        </w:rPr>
        <w:t xml:space="preserve">   </w:t>
      </w:r>
      <w:r>
        <w:rPr>
          <w:rFonts w:hint="eastAsia" w:ascii="黑体" w:eastAsia="黑体"/>
          <w:sz w:val="30"/>
          <w:szCs w:val="30"/>
        </w:rPr>
        <w:t>学期</w:t>
      </w:r>
    </w:p>
    <w:p>
      <w:pPr>
        <w:spacing w:line="360" w:lineRule="auto"/>
        <w:rPr>
          <w:rFonts w:hint="eastAsia" w:ascii="宋体" w:hAnsi="宋体"/>
          <w:sz w:val="24"/>
          <w:vertAlign w:val="subscript"/>
        </w:rPr>
      </w:pPr>
      <w:r>
        <w:rPr>
          <w:rFonts w:hint="eastAsia" w:ascii="宋体" w:hAnsi="宋体"/>
          <w:sz w:val="24"/>
        </w:rPr>
        <w:t>一、基本信息（由命题教师填写）</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302"/>
        <w:gridCol w:w="1312"/>
        <w:gridCol w:w="1201"/>
        <w:gridCol w:w="344"/>
        <w:gridCol w:w="736"/>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93" w:type="dxa"/>
            <w:noWrap w:val="0"/>
            <w:vAlign w:val="top"/>
          </w:tcPr>
          <w:p>
            <w:pPr>
              <w:spacing w:line="360" w:lineRule="auto"/>
              <w:rPr>
                <w:rFonts w:hint="eastAsia" w:ascii="宋体" w:hAnsi="宋体"/>
                <w:sz w:val="24"/>
              </w:rPr>
            </w:pPr>
            <w:r>
              <w:rPr>
                <w:rFonts w:hint="eastAsia" w:ascii="宋体" w:hAnsi="宋体"/>
                <w:sz w:val="24"/>
              </w:rPr>
              <w:t>课程名称</w:t>
            </w:r>
          </w:p>
        </w:tc>
        <w:tc>
          <w:tcPr>
            <w:tcW w:w="2614" w:type="dxa"/>
            <w:gridSpan w:val="2"/>
            <w:noWrap w:val="0"/>
            <w:vAlign w:val="top"/>
          </w:tcPr>
          <w:p>
            <w:pPr>
              <w:spacing w:line="360" w:lineRule="auto"/>
              <w:rPr>
                <w:rFonts w:hint="eastAsia" w:ascii="宋体" w:hAnsi="宋体"/>
                <w:sz w:val="24"/>
              </w:rPr>
            </w:pPr>
          </w:p>
        </w:tc>
        <w:tc>
          <w:tcPr>
            <w:tcW w:w="1545" w:type="dxa"/>
            <w:gridSpan w:val="2"/>
            <w:noWrap w:val="0"/>
            <w:vAlign w:val="top"/>
          </w:tcPr>
          <w:p>
            <w:pPr>
              <w:spacing w:line="360" w:lineRule="auto"/>
              <w:rPr>
                <w:rFonts w:hint="eastAsia" w:ascii="宋体" w:hAnsi="宋体"/>
                <w:sz w:val="24"/>
              </w:rPr>
            </w:pPr>
            <w:r>
              <w:rPr>
                <w:rFonts w:hint="eastAsia" w:ascii="宋体" w:hAnsi="宋体"/>
                <w:sz w:val="24"/>
              </w:rPr>
              <w:t>课程代码</w:t>
            </w:r>
            <w:r>
              <w:rPr>
                <w:rFonts w:ascii="宋体" w:hAnsi="宋体"/>
                <w:sz w:val="24"/>
              </w:rPr>
              <w:tab/>
            </w:r>
          </w:p>
        </w:tc>
        <w:tc>
          <w:tcPr>
            <w:tcW w:w="3076" w:type="dxa"/>
            <w:gridSpan w:val="3"/>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center"/>
          </w:tcPr>
          <w:p>
            <w:pPr>
              <w:spacing w:line="360" w:lineRule="auto"/>
              <w:rPr>
                <w:rFonts w:hint="eastAsia" w:ascii="宋体" w:hAnsi="宋体"/>
                <w:sz w:val="24"/>
              </w:rPr>
            </w:pPr>
            <w:r>
              <w:rPr>
                <w:rFonts w:hint="eastAsia" w:ascii="宋体" w:hAnsi="宋体"/>
                <w:sz w:val="24"/>
              </w:rPr>
              <w:t>开课院（部）</w:t>
            </w:r>
          </w:p>
        </w:tc>
        <w:tc>
          <w:tcPr>
            <w:tcW w:w="1302" w:type="dxa"/>
            <w:noWrap w:val="0"/>
            <w:vAlign w:val="center"/>
          </w:tcPr>
          <w:p>
            <w:pPr>
              <w:spacing w:line="360" w:lineRule="auto"/>
              <w:ind w:left="1691" w:leftChars="-991" w:hanging="3772" w:hangingChars="1572"/>
              <w:rPr>
                <w:rFonts w:hint="eastAsia" w:ascii="宋体" w:hAnsi="宋体"/>
                <w:sz w:val="24"/>
              </w:rPr>
            </w:pPr>
            <w:r>
              <w:rPr>
                <w:rFonts w:hint="eastAsia" w:ascii="宋体" w:hAnsi="宋体"/>
                <w:sz w:val="24"/>
              </w:rPr>
              <w:t xml:space="preserve">                              </w:t>
            </w:r>
          </w:p>
        </w:tc>
        <w:tc>
          <w:tcPr>
            <w:tcW w:w="1312" w:type="dxa"/>
            <w:noWrap w:val="0"/>
            <w:vAlign w:val="center"/>
          </w:tcPr>
          <w:p>
            <w:pPr>
              <w:tabs>
                <w:tab w:val="left" w:pos="0"/>
                <w:tab w:val="left" w:pos="252"/>
              </w:tabs>
              <w:spacing w:line="360" w:lineRule="auto"/>
              <w:ind w:left="-1367" w:leftChars="-651" w:firstLine="1368" w:firstLineChars="570"/>
              <w:rPr>
                <w:rFonts w:hint="eastAsia" w:ascii="宋体" w:hAnsi="宋体"/>
                <w:sz w:val="24"/>
              </w:rPr>
            </w:pPr>
            <w:r>
              <w:rPr>
                <w:rFonts w:hint="eastAsia" w:ascii="宋体" w:hAnsi="宋体"/>
                <w:sz w:val="24"/>
              </w:rPr>
              <w:t>课程类型</w:t>
            </w:r>
          </w:p>
        </w:tc>
        <w:tc>
          <w:tcPr>
            <w:tcW w:w="4621" w:type="dxa"/>
            <w:gridSpan w:val="5"/>
            <w:noWrap w:val="0"/>
            <w:vAlign w:val="center"/>
          </w:tcPr>
          <w:p>
            <w:pPr>
              <w:adjustRightInd w:val="0"/>
              <w:spacing w:line="240" w:lineRule="atLeast"/>
              <w:ind w:right="-107" w:rightChars="-51" w:firstLine="90" w:firstLineChars="50"/>
              <w:rPr>
                <w:rFonts w:hint="eastAsia" w:ascii="宋体" w:hAnsi="宋体"/>
                <w:sz w:val="18"/>
                <w:szCs w:val="18"/>
              </w:rPr>
            </w:pPr>
            <w:r>
              <w:rPr>
                <w:rFonts w:hint="eastAsia" w:ascii="宋体" w:hAnsi="宋体"/>
                <w:sz w:val="18"/>
                <w:szCs w:val="18"/>
              </w:rPr>
              <w:t>通识教育课</w:t>
            </w:r>
            <w:r>
              <w:rPr>
                <w:rFonts w:hint="eastAsia" w:ascii="宋体" w:hAnsi="宋体"/>
                <w:szCs w:val="21"/>
              </w:rPr>
              <w:t>□</w:t>
            </w:r>
            <w:r>
              <w:rPr>
                <w:rFonts w:hint="eastAsia" w:ascii="宋体" w:hAnsi="宋体"/>
                <w:sz w:val="18"/>
                <w:szCs w:val="18"/>
              </w:rPr>
              <w:t xml:space="preserve">   学科专业基础课</w:t>
            </w:r>
            <w:r>
              <w:rPr>
                <w:rFonts w:hint="eastAsia" w:ascii="宋体" w:hAnsi="宋体"/>
                <w:szCs w:val="21"/>
              </w:rPr>
              <w:t>□</w:t>
            </w:r>
            <w:r>
              <w:rPr>
                <w:rFonts w:hint="eastAsia" w:ascii="宋体" w:hAnsi="宋体"/>
                <w:sz w:val="18"/>
                <w:szCs w:val="18"/>
              </w:rPr>
              <w:t xml:space="preserve">   专业课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noWrap w:val="0"/>
            <w:vAlign w:val="top"/>
          </w:tcPr>
          <w:p>
            <w:pPr>
              <w:spacing w:line="360" w:lineRule="auto"/>
              <w:rPr>
                <w:rFonts w:hint="eastAsia" w:ascii="宋体" w:hAnsi="宋体"/>
                <w:sz w:val="24"/>
              </w:rPr>
            </w:pPr>
            <w:r>
              <w:rPr>
                <w:rFonts w:hint="eastAsia" w:ascii="宋体" w:hAnsi="宋体"/>
                <w:sz w:val="24"/>
              </w:rPr>
              <w:t>适用年级专业</w:t>
            </w:r>
          </w:p>
        </w:tc>
        <w:tc>
          <w:tcPr>
            <w:tcW w:w="2614" w:type="dxa"/>
            <w:gridSpan w:val="2"/>
            <w:noWrap w:val="0"/>
            <w:vAlign w:val="top"/>
          </w:tcPr>
          <w:p>
            <w:pPr>
              <w:spacing w:line="360" w:lineRule="auto"/>
              <w:rPr>
                <w:rFonts w:hint="eastAsia" w:ascii="宋体" w:hAnsi="宋体"/>
                <w:sz w:val="24"/>
              </w:rPr>
            </w:pPr>
          </w:p>
        </w:tc>
        <w:tc>
          <w:tcPr>
            <w:tcW w:w="1201" w:type="dxa"/>
            <w:noWrap w:val="0"/>
            <w:vAlign w:val="top"/>
          </w:tcPr>
          <w:p>
            <w:pPr>
              <w:tabs>
                <w:tab w:val="left" w:pos="0"/>
              </w:tabs>
              <w:spacing w:line="360" w:lineRule="auto"/>
              <w:jc w:val="center"/>
              <w:rPr>
                <w:rFonts w:hint="eastAsia" w:ascii="宋体" w:hAnsi="宋体"/>
                <w:sz w:val="24"/>
              </w:rPr>
            </w:pPr>
            <w:r>
              <w:rPr>
                <w:rFonts w:hint="eastAsia" w:ascii="宋体" w:hAnsi="宋体"/>
                <w:sz w:val="24"/>
              </w:rPr>
              <w:t>命题教师</w:t>
            </w:r>
          </w:p>
        </w:tc>
        <w:tc>
          <w:tcPr>
            <w:tcW w:w="1080" w:type="dxa"/>
            <w:gridSpan w:val="2"/>
            <w:noWrap w:val="0"/>
            <w:vAlign w:val="center"/>
          </w:tcPr>
          <w:p>
            <w:pPr>
              <w:tabs>
                <w:tab w:val="left" w:pos="0"/>
                <w:tab w:val="left" w:pos="252"/>
              </w:tabs>
              <w:spacing w:line="360" w:lineRule="auto"/>
              <w:ind w:left="-1367" w:leftChars="-651" w:firstLine="1368" w:firstLineChars="570"/>
              <w:rPr>
                <w:rFonts w:hint="eastAsia" w:ascii="宋体" w:hAnsi="宋体"/>
                <w:sz w:val="24"/>
              </w:rPr>
            </w:pPr>
          </w:p>
        </w:tc>
        <w:tc>
          <w:tcPr>
            <w:tcW w:w="1260" w:type="dxa"/>
            <w:noWrap w:val="0"/>
            <w:vAlign w:val="center"/>
          </w:tcPr>
          <w:p>
            <w:pPr>
              <w:tabs>
                <w:tab w:val="left" w:pos="0"/>
                <w:tab w:val="left" w:pos="252"/>
              </w:tabs>
              <w:spacing w:line="360" w:lineRule="auto"/>
              <w:rPr>
                <w:rFonts w:hint="eastAsia" w:ascii="宋体" w:hAnsi="宋体"/>
                <w:sz w:val="24"/>
              </w:rPr>
            </w:pPr>
            <w:r>
              <w:rPr>
                <w:rFonts w:hint="eastAsia" w:ascii="宋体" w:hAnsi="宋体"/>
                <w:sz w:val="24"/>
              </w:rPr>
              <w:t>主讲教师</w:t>
            </w:r>
          </w:p>
        </w:tc>
        <w:tc>
          <w:tcPr>
            <w:tcW w:w="1080" w:type="dxa"/>
            <w:noWrap w:val="0"/>
            <w:vAlign w:val="center"/>
          </w:tcPr>
          <w:p>
            <w:pPr>
              <w:tabs>
                <w:tab w:val="left" w:pos="0"/>
                <w:tab w:val="left" w:pos="252"/>
              </w:tabs>
              <w:spacing w:line="360" w:lineRule="auto"/>
              <w:rPr>
                <w:rFonts w:hint="eastAsia" w:ascii="宋体" w:hAnsi="宋体"/>
                <w:sz w:val="24"/>
              </w:rPr>
            </w:pPr>
          </w:p>
        </w:tc>
      </w:tr>
    </w:tbl>
    <w:p>
      <w:pPr>
        <w:spacing w:line="360" w:lineRule="auto"/>
        <w:rPr>
          <w:rFonts w:hint="eastAsia" w:ascii="宋体" w:hAnsi="宋体"/>
          <w:sz w:val="18"/>
          <w:szCs w:val="18"/>
        </w:rPr>
      </w:pPr>
      <w:r>
        <w:rPr>
          <w:rFonts w:hint="eastAsia" w:ascii="宋体" w:hAnsi="宋体"/>
          <w:sz w:val="24"/>
        </w:rPr>
        <w:t>二、审核内容（由专业带头人/专业负责人/专业助理审核填写）</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787"/>
        <w:gridCol w:w="4266"/>
        <w:gridCol w:w="617"/>
        <w:gridCol w:w="617"/>
        <w:gridCol w:w="259"/>
        <w:gridCol w:w="35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6" w:type="pct"/>
            <w:noWrap w:val="0"/>
            <w:vAlign w:val="top"/>
          </w:tcPr>
          <w:p>
            <w:pPr>
              <w:spacing w:line="360" w:lineRule="auto"/>
              <w:rPr>
                <w:rFonts w:hint="eastAsia" w:ascii="宋体" w:hAnsi="宋体"/>
                <w:sz w:val="24"/>
              </w:rPr>
            </w:pPr>
          </w:p>
        </w:tc>
        <w:tc>
          <w:tcPr>
            <w:tcW w:w="2824" w:type="pct"/>
            <w:gridSpan w:val="2"/>
            <w:noWrap w:val="0"/>
            <w:vAlign w:val="top"/>
          </w:tcPr>
          <w:p>
            <w:pPr>
              <w:spacing w:line="360" w:lineRule="auto"/>
              <w:jc w:val="center"/>
              <w:rPr>
                <w:rFonts w:hint="eastAsia" w:ascii="宋体" w:hAnsi="宋体"/>
                <w:sz w:val="24"/>
              </w:rPr>
            </w:pPr>
            <w:r>
              <w:rPr>
                <w:rFonts w:hint="eastAsia" w:ascii="宋体" w:hAnsi="宋体"/>
                <w:sz w:val="24"/>
              </w:rPr>
              <w:t>审核项目</w:t>
            </w:r>
          </w:p>
        </w:tc>
        <w:tc>
          <w:tcPr>
            <w:tcW w:w="345" w:type="pct"/>
            <w:noWrap w:val="0"/>
            <w:vAlign w:val="center"/>
          </w:tcPr>
          <w:p>
            <w:pPr>
              <w:spacing w:line="360" w:lineRule="auto"/>
              <w:jc w:val="center"/>
              <w:rPr>
                <w:rFonts w:hint="eastAsia" w:ascii="宋体" w:hAnsi="宋体"/>
                <w:sz w:val="24"/>
              </w:rPr>
            </w:pPr>
            <w:r>
              <w:rPr>
                <w:rFonts w:hint="eastAsia" w:ascii="宋体" w:hAnsi="宋体"/>
                <w:sz w:val="24"/>
              </w:rPr>
              <w:t>A</w:t>
            </w:r>
          </w:p>
        </w:tc>
        <w:tc>
          <w:tcPr>
            <w:tcW w:w="345" w:type="pct"/>
            <w:noWrap w:val="0"/>
            <w:vAlign w:val="center"/>
          </w:tcPr>
          <w:p>
            <w:pPr>
              <w:spacing w:line="360" w:lineRule="auto"/>
              <w:jc w:val="center"/>
              <w:rPr>
                <w:rFonts w:hint="eastAsia" w:ascii="宋体" w:hAnsi="宋体"/>
                <w:sz w:val="24"/>
              </w:rPr>
            </w:pPr>
            <w:r>
              <w:rPr>
                <w:rFonts w:hint="eastAsia" w:ascii="宋体" w:hAnsi="宋体"/>
                <w:sz w:val="24"/>
              </w:rPr>
              <w:t>B</w:t>
            </w:r>
          </w:p>
        </w:tc>
        <w:tc>
          <w:tcPr>
            <w:tcW w:w="345" w:type="pct"/>
            <w:gridSpan w:val="2"/>
            <w:noWrap w:val="0"/>
            <w:vAlign w:val="center"/>
          </w:tcPr>
          <w:p>
            <w:pPr>
              <w:spacing w:line="360" w:lineRule="auto"/>
              <w:jc w:val="center"/>
              <w:rPr>
                <w:rFonts w:hint="eastAsia" w:ascii="宋体" w:hAnsi="宋体"/>
                <w:sz w:val="24"/>
              </w:rPr>
            </w:pPr>
            <w:r>
              <w:rPr>
                <w:rFonts w:hint="eastAsia" w:ascii="宋体" w:hAnsi="宋体"/>
                <w:sz w:val="24"/>
              </w:rPr>
              <w:t>C</w:t>
            </w:r>
          </w:p>
        </w:tc>
        <w:tc>
          <w:tcPr>
            <w:tcW w:w="714" w:type="pct"/>
            <w:noWrap w:val="0"/>
            <w:vAlign w:val="center"/>
          </w:tcPr>
          <w:p>
            <w:pPr>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restart"/>
            <w:noWrap w:val="0"/>
            <w:vAlign w:val="top"/>
          </w:tcPr>
          <w:p>
            <w:pPr>
              <w:spacing w:line="360" w:lineRule="auto"/>
              <w:jc w:val="center"/>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命</w:t>
            </w:r>
          </w:p>
          <w:p>
            <w:pPr>
              <w:spacing w:line="360" w:lineRule="auto"/>
              <w:jc w:val="center"/>
              <w:rPr>
                <w:rFonts w:hint="eastAsia" w:ascii="宋体" w:hAnsi="宋体"/>
                <w:sz w:val="24"/>
              </w:rPr>
            </w:pPr>
            <w:r>
              <w:rPr>
                <w:rFonts w:hint="eastAsia" w:ascii="宋体" w:hAnsi="宋体"/>
                <w:sz w:val="24"/>
              </w:rPr>
              <w:t>题</w:t>
            </w:r>
          </w:p>
          <w:p>
            <w:pPr>
              <w:spacing w:line="360" w:lineRule="auto"/>
              <w:jc w:val="center"/>
              <w:rPr>
                <w:rFonts w:hint="eastAsia" w:ascii="宋体" w:hAnsi="宋体"/>
                <w:sz w:val="24"/>
              </w:rPr>
            </w:pPr>
            <w:r>
              <w:rPr>
                <w:rFonts w:hint="eastAsia" w:ascii="宋体" w:hAnsi="宋体"/>
                <w:sz w:val="24"/>
              </w:rPr>
              <w:t>质</w:t>
            </w:r>
          </w:p>
          <w:p>
            <w:pPr>
              <w:spacing w:line="360" w:lineRule="auto"/>
              <w:jc w:val="center"/>
              <w:rPr>
                <w:rFonts w:hint="eastAsia" w:ascii="宋体" w:hAnsi="宋体"/>
                <w:sz w:val="24"/>
              </w:rPr>
            </w:pPr>
            <w:r>
              <w:rPr>
                <w:rFonts w:hint="eastAsia" w:ascii="宋体" w:hAnsi="宋体"/>
                <w:sz w:val="24"/>
              </w:rPr>
              <w:t>量</w:t>
            </w: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1、符合课程大纲要求</w:t>
            </w:r>
          </w:p>
        </w:tc>
        <w:tc>
          <w:tcPr>
            <w:tcW w:w="345" w:type="pct"/>
            <w:noWrap w:val="0"/>
            <w:vAlign w:val="top"/>
          </w:tcPr>
          <w:p>
            <w:pPr>
              <w:spacing w:line="360" w:lineRule="auto"/>
              <w:ind w:left="24" w:hanging="24" w:hangingChars="10"/>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continue"/>
            <w:noWrap w:val="0"/>
            <w:vAlign w:val="top"/>
          </w:tcPr>
          <w:p>
            <w:pPr>
              <w:spacing w:line="360" w:lineRule="auto"/>
              <w:rPr>
                <w:rFonts w:hint="eastAsia" w:ascii="宋体" w:hAnsi="宋体"/>
                <w:sz w:val="24"/>
              </w:rPr>
            </w:pP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2、题量适当</w:t>
            </w:r>
          </w:p>
        </w:tc>
        <w:tc>
          <w:tcPr>
            <w:tcW w:w="345" w:type="pct"/>
            <w:noWrap w:val="0"/>
            <w:vAlign w:val="top"/>
          </w:tcPr>
          <w:p>
            <w:pPr>
              <w:spacing w:line="360" w:lineRule="auto"/>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continue"/>
            <w:noWrap w:val="0"/>
            <w:vAlign w:val="top"/>
          </w:tcPr>
          <w:p>
            <w:pPr>
              <w:spacing w:line="360" w:lineRule="auto"/>
              <w:rPr>
                <w:rFonts w:hint="eastAsia" w:ascii="宋体" w:hAnsi="宋体"/>
                <w:sz w:val="24"/>
              </w:rPr>
            </w:pP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3、难易适中</w:t>
            </w:r>
          </w:p>
        </w:tc>
        <w:tc>
          <w:tcPr>
            <w:tcW w:w="345" w:type="pct"/>
            <w:noWrap w:val="0"/>
            <w:vAlign w:val="top"/>
          </w:tcPr>
          <w:p>
            <w:pPr>
              <w:spacing w:line="360" w:lineRule="auto"/>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continue"/>
            <w:noWrap w:val="0"/>
            <w:vAlign w:val="top"/>
          </w:tcPr>
          <w:p>
            <w:pPr>
              <w:spacing w:line="360" w:lineRule="auto"/>
              <w:rPr>
                <w:rFonts w:hint="eastAsia" w:ascii="宋体" w:hAnsi="宋体"/>
                <w:sz w:val="24"/>
              </w:rPr>
            </w:pP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4、覆盖面大</w:t>
            </w:r>
          </w:p>
        </w:tc>
        <w:tc>
          <w:tcPr>
            <w:tcW w:w="345" w:type="pct"/>
            <w:noWrap w:val="0"/>
            <w:vAlign w:val="top"/>
          </w:tcPr>
          <w:p>
            <w:pPr>
              <w:spacing w:line="360" w:lineRule="auto"/>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continue"/>
            <w:noWrap w:val="0"/>
            <w:vAlign w:val="top"/>
          </w:tcPr>
          <w:p>
            <w:pPr>
              <w:spacing w:line="360" w:lineRule="auto"/>
              <w:rPr>
                <w:rFonts w:hint="eastAsia" w:ascii="宋体" w:hAnsi="宋体"/>
                <w:sz w:val="24"/>
              </w:rPr>
            </w:pP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5、题型符合要求（不少于4-5种题型）</w:t>
            </w:r>
          </w:p>
        </w:tc>
        <w:tc>
          <w:tcPr>
            <w:tcW w:w="345" w:type="pct"/>
            <w:noWrap w:val="0"/>
            <w:vAlign w:val="top"/>
          </w:tcPr>
          <w:p>
            <w:pPr>
              <w:spacing w:line="360" w:lineRule="auto"/>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continue"/>
            <w:tcBorders>
              <w:bottom w:val="double" w:color="auto" w:sz="4" w:space="0"/>
            </w:tcBorders>
            <w:noWrap w:val="0"/>
            <w:vAlign w:val="top"/>
          </w:tcPr>
          <w:p>
            <w:pPr>
              <w:spacing w:line="360" w:lineRule="auto"/>
              <w:rPr>
                <w:rFonts w:hint="eastAsia" w:ascii="宋体" w:hAnsi="宋体"/>
                <w:sz w:val="24"/>
              </w:rPr>
            </w:pPr>
          </w:p>
        </w:tc>
        <w:tc>
          <w:tcPr>
            <w:tcW w:w="2824" w:type="pct"/>
            <w:gridSpan w:val="2"/>
            <w:tcBorders>
              <w:bottom w:val="double" w:color="auto" w:sz="4" w:space="0"/>
            </w:tcBorders>
            <w:noWrap w:val="0"/>
            <w:vAlign w:val="top"/>
          </w:tcPr>
          <w:p>
            <w:pPr>
              <w:spacing w:line="360" w:lineRule="auto"/>
              <w:rPr>
                <w:rFonts w:hint="eastAsia" w:ascii="宋体" w:hAnsi="宋体"/>
                <w:sz w:val="24"/>
              </w:rPr>
            </w:pPr>
            <w:r>
              <w:rPr>
                <w:rFonts w:hint="eastAsia" w:ascii="宋体" w:hAnsi="宋体"/>
                <w:sz w:val="24"/>
              </w:rPr>
              <w:t>6、有考核学生灵活应用知识的综合性、提高性题目，且有一定水平</w:t>
            </w:r>
          </w:p>
        </w:tc>
        <w:tc>
          <w:tcPr>
            <w:tcW w:w="345" w:type="pct"/>
            <w:tcBorders>
              <w:bottom w:val="double" w:color="auto" w:sz="4" w:space="0"/>
            </w:tcBorders>
            <w:noWrap w:val="0"/>
            <w:vAlign w:val="top"/>
          </w:tcPr>
          <w:p>
            <w:pPr>
              <w:spacing w:line="360" w:lineRule="auto"/>
              <w:rPr>
                <w:rFonts w:hint="eastAsia" w:ascii="宋体" w:hAnsi="宋体"/>
                <w:sz w:val="24"/>
              </w:rPr>
            </w:pPr>
          </w:p>
        </w:tc>
        <w:tc>
          <w:tcPr>
            <w:tcW w:w="345" w:type="pct"/>
            <w:tcBorders>
              <w:bottom w:val="double" w:color="auto" w:sz="4" w:space="0"/>
            </w:tcBorders>
            <w:noWrap w:val="0"/>
            <w:vAlign w:val="top"/>
          </w:tcPr>
          <w:p>
            <w:pPr>
              <w:spacing w:line="360" w:lineRule="auto"/>
              <w:rPr>
                <w:rFonts w:hint="eastAsia" w:ascii="宋体" w:hAnsi="宋体"/>
                <w:sz w:val="24"/>
              </w:rPr>
            </w:pPr>
          </w:p>
        </w:tc>
        <w:tc>
          <w:tcPr>
            <w:tcW w:w="345" w:type="pct"/>
            <w:gridSpan w:val="2"/>
            <w:tcBorders>
              <w:bottom w:val="double" w:color="auto" w:sz="4" w:space="0"/>
            </w:tcBorders>
            <w:noWrap w:val="0"/>
            <w:vAlign w:val="top"/>
          </w:tcPr>
          <w:p>
            <w:pPr>
              <w:spacing w:line="360" w:lineRule="auto"/>
              <w:rPr>
                <w:rFonts w:hint="eastAsia" w:ascii="宋体" w:hAnsi="宋体"/>
                <w:sz w:val="24"/>
              </w:rPr>
            </w:pPr>
          </w:p>
        </w:tc>
        <w:tc>
          <w:tcPr>
            <w:tcW w:w="714" w:type="pct"/>
            <w:tcBorders>
              <w:bottom w:val="doub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26" w:type="pct"/>
            <w:vMerge w:val="restart"/>
            <w:tcBorders>
              <w:top w:val="double" w:color="auto" w:sz="4" w:space="0"/>
            </w:tcBorders>
            <w:noWrap w:val="0"/>
            <w:vAlign w:val="center"/>
          </w:tcPr>
          <w:p>
            <w:pPr>
              <w:jc w:val="center"/>
              <w:rPr>
                <w:rFonts w:hint="eastAsia" w:ascii="宋体" w:hAnsi="宋体"/>
                <w:sz w:val="24"/>
              </w:rPr>
            </w:pPr>
            <w:r>
              <w:rPr>
                <w:rFonts w:hint="eastAsia" w:ascii="宋体" w:hAnsi="宋体"/>
                <w:sz w:val="24"/>
              </w:rPr>
              <w:t>卷</w:t>
            </w:r>
          </w:p>
          <w:p>
            <w:pPr>
              <w:jc w:val="center"/>
              <w:rPr>
                <w:rFonts w:hint="eastAsia" w:ascii="宋体" w:hAnsi="宋体"/>
                <w:sz w:val="24"/>
              </w:rPr>
            </w:pPr>
            <w:r>
              <w:rPr>
                <w:rFonts w:hint="eastAsia" w:ascii="宋体" w:hAnsi="宋体"/>
                <w:sz w:val="24"/>
              </w:rPr>
              <w:t>面</w:t>
            </w:r>
          </w:p>
          <w:p>
            <w:pPr>
              <w:jc w:val="center"/>
              <w:rPr>
                <w:rFonts w:hint="eastAsia" w:ascii="宋体" w:hAnsi="宋体"/>
                <w:sz w:val="24"/>
              </w:rPr>
            </w:pPr>
            <w:r>
              <w:rPr>
                <w:rFonts w:hint="eastAsia" w:ascii="宋体" w:hAnsi="宋体"/>
                <w:sz w:val="24"/>
              </w:rPr>
              <w:t>质</w:t>
            </w:r>
          </w:p>
          <w:p>
            <w:pPr>
              <w:jc w:val="center"/>
              <w:rPr>
                <w:rFonts w:hint="eastAsia" w:ascii="宋体" w:hAnsi="宋体"/>
                <w:sz w:val="24"/>
              </w:rPr>
            </w:pPr>
            <w:r>
              <w:rPr>
                <w:rFonts w:hint="eastAsia" w:ascii="宋体" w:hAnsi="宋体"/>
                <w:sz w:val="24"/>
              </w:rPr>
              <w:t>量</w:t>
            </w:r>
          </w:p>
        </w:tc>
        <w:tc>
          <w:tcPr>
            <w:tcW w:w="2824" w:type="pct"/>
            <w:gridSpan w:val="2"/>
            <w:tcBorders>
              <w:top w:val="double" w:color="auto" w:sz="4" w:space="0"/>
            </w:tcBorders>
            <w:noWrap w:val="0"/>
            <w:vAlign w:val="center"/>
          </w:tcPr>
          <w:p>
            <w:pPr>
              <w:spacing w:line="360" w:lineRule="auto"/>
              <w:rPr>
                <w:rFonts w:hint="eastAsia" w:ascii="宋体" w:hAnsi="宋体"/>
                <w:sz w:val="24"/>
              </w:rPr>
            </w:pPr>
            <w:r>
              <w:rPr>
                <w:rFonts w:hint="eastAsia" w:ascii="宋体" w:hAnsi="宋体"/>
                <w:sz w:val="24"/>
              </w:rPr>
              <w:t>1、试卷文字、插图，工整、清楚、准确</w:t>
            </w:r>
          </w:p>
        </w:tc>
        <w:tc>
          <w:tcPr>
            <w:tcW w:w="345" w:type="pct"/>
            <w:tcBorders>
              <w:top w:val="double" w:color="auto" w:sz="4" w:space="0"/>
            </w:tcBorders>
            <w:noWrap w:val="0"/>
            <w:vAlign w:val="top"/>
          </w:tcPr>
          <w:p>
            <w:pPr>
              <w:spacing w:line="360" w:lineRule="auto"/>
              <w:rPr>
                <w:rFonts w:hint="eastAsia" w:ascii="宋体" w:hAnsi="宋体"/>
                <w:sz w:val="24"/>
              </w:rPr>
            </w:pPr>
          </w:p>
        </w:tc>
        <w:tc>
          <w:tcPr>
            <w:tcW w:w="345" w:type="pct"/>
            <w:tcBorders>
              <w:top w:val="double" w:color="auto" w:sz="4" w:space="0"/>
            </w:tcBorders>
            <w:noWrap w:val="0"/>
            <w:vAlign w:val="top"/>
          </w:tcPr>
          <w:p>
            <w:pPr>
              <w:spacing w:line="360" w:lineRule="auto"/>
              <w:rPr>
                <w:rFonts w:hint="eastAsia" w:ascii="宋体" w:hAnsi="宋体"/>
                <w:sz w:val="24"/>
              </w:rPr>
            </w:pPr>
          </w:p>
        </w:tc>
        <w:tc>
          <w:tcPr>
            <w:tcW w:w="345" w:type="pct"/>
            <w:gridSpan w:val="2"/>
            <w:tcBorders>
              <w:top w:val="double" w:color="auto" w:sz="4" w:space="0"/>
            </w:tcBorders>
            <w:noWrap w:val="0"/>
            <w:vAlign w:val="top"/>
          </w:tcPr>
          <w:p>
            <w:pPr>
              <w:spacing w:line="360" w:lineRule="auto"/>
              <w:rPr>
                <w:rFonts w:hint="eastAsia" w:ascii="宋体" w:hAnsi="宋体"/>
                <w:sz w:val="24"/>
              </w:rPr>
            </w:pPr>
          </w:p>
        </w:tc>
        <w:tc>
          <w:tcPr>
            <w:tcW w:w="714" w:type="pct"/>
            <w:tcBorders>
              <w:top w:val="doub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26" w:type="pct"/>
            <w:vMerge w:val="continue"/>
            <w:tcBorders>
              <w:bottom w:val="double" w:color="auto" w:sz="4" w:space="0"/>
            </w:tcBorders>
            <w:noWrap w:val="0"/>
            <w:vAlign w:val="top"/>
          </w:tcPr>
          <w:p>
            <w:pPr>
              <w:spacing w:line="360" w:lineRule="auto"/>
              <w:rPr>
                <w:rFonts w:hint="eastAsia" w:ascii="宋体" w:hAnsi="宋体"/>
                <w:sz w:val="24"/>
              </w:rPr>
            </w:pPr>
          </w:p>
        </w:tc>
        <w:tc>
          <w:tcPr>
            <w:tcW w:w="2824" w:type="pct"/>
            <w:gridSpan w:val="2"/>
            <w:tcBorders>
              <w:bottom w:val="double" w:color="auto" w:sz="4" w:space="0"/>
            </w:tcBorders>
            <w:noWrap w:val="0"/>
            <w:vAlign w:val="center"/>
          </w:tcPr>
          <w:p>
            <w:pPr>
              <w:spacing w:line="360" w:lineRule="auto"/>
              <w:rPr>
                <w:rFonts w:hint="eastAsia" w:ascii="宋体" w:hAnsi="宋体"/>
                <w:sz w:val="24"/>
              </w:rPr>
            </w:pPr>
            <w:r>
              <w:rPr>
                <w:rFonts w:hint="eastAsia" w:ascii="宋体" w:hAnsi="宋体"/>
                <w:sz w:val="24"/>
              </w:rPr>
              <w:t>2、试卷无错误</w:t>
            </w:r>
          </w:p>
        </w:tc>
        <w:tc>
          <w:tcPr>
            <w:tcW w:w="345" w:type="pct"/>
            <w:tcBorders>
              <w:bottom w:val="double" w:color="auto" w:sz="4" w:space="0"/>
            </w:tcBorders>
            <w:noWrap w:val="0"/>
            <w:vAlign w:val="top"/>
          </w:tcPr>
          <w:p>
            <w:pPr>
              <w:spacing w:line="360" w:lineRule="auto"/>
              <w:rPr>
                <w:rFonts w:hint="eastAsia" w:ascii="宋体" w:hAnsi="宋体"/>
                <w:sz w:val="24"/>
              </w:rPr>
            </w:pPr>
          </w:p>
        </w:tc>
        <w:tc>
          <w:tcPr>
            <w:tcW w:w="345" w:type="pct"/>
            <w:tcBorders>
              <w:bottom w:val="double" w:color="auto" w:sz="4" w:space="0"/>
            </w:tcBorders>
            <w:noWrap w:val="0"/>
            <w:vAlign w:val="top"/>
          </w:tcPr>
          <w:p>
            <w:pPr>
              <w:spacing w:line="360" w:lineRule="auto"/>
              <w:rPr>
                <w:rFonts w:hint="eastAsia" w:ascii="宋体" w:hAnsi="宋体"/>
                <w:sz w:val="24"/>
              </w:rPr>
            </w:pPr>
          </w:p>
        </w:tc>
        <w:tc>
          <w:tcPr>
            <w:tcW w:w="345" w:type="pct"/>
            <w:gridSpan w:val="2"/>
            <w:tcBorders>
              <w:bottom w:val="double" w:color="auto" w:sz="4" w:space="0"/>
            </w:tcBorders>
            <w:noWrap w:val="0"/>
            <w:vAlign w:val="top"/>
          </w:tcPr>
          <w:p>
            <w:pPr>
              <w:spacing w:line="360" w:lineRule="auto"/>
              <w:rPr>
                <w:rFonts w:hint="eastAsia" w:ascii="宋体" w:hAnsi="宋体"/>
                <w:sz w:val="24"/>
              </w:rPr>
            </w:pPr>
          </w:p>
        </w:tc>
        <w:tc>
          <w:tcPr>
            <w:tcW w:w="714" w:type="pct"/>
            <w:tcBorders>
              <w:bottom w:val="double" w:color="auto" w:sz="4" w:space="0"/>
            </w:tcBorders>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restart"/>
            <w:tcBorders>
              <w:top w:val="double" w:color="auto" w:sz="4" w:space="0"/>
            </w:tcBorders>
            <w:noWrap w:val="0"/>
            <w:vAlign w:val="center"/>
          </w:tcPr>
          <w:p>
            <w:pPr>
              <w:jc w:val="center"/>
              <w:rPr>
                <w:rFonts w:hint="eastAsia" w:ascii="宋体" w:hAnsi="宋体"/>
                <w:sz w:val="24"/>
              </w:rPr>
            </w:pPr>
            <w:r>
              <w:rPr>
                <w:rFonts w:hint="eastAsia" w:ascii="宋体" w:hAnsi="宋体"/>
                <w:sz w:val="24"/>
              </w:rPr>
              <w:t>试</w:t>
            </w:r>
          </w:p>
          <w:p>
            <w:pPr>
              <w:jc w:val="center"/>
              <w:rPr>
                <w:rFonts w:hint="eastAsia" w:ascii="宋体" w:hAnsi="宋体"/>
                <w:sz w:val="24"/>
              </w:rPr>
            </w:pPr>
            <w:r>
              <w:rPr>
                <w:rFonts w:hint="eastAsia" w:ascii="宋体" w:hAnsi="宋体"/>
                <w:sz w:val="24"/>
              </w:rPr>
              <w:t>卷</w:t>
            </w:r>
          </w:p>
          <w:p>
            <w:pPr>
              <w:jc w:val="center"/>
              <w:rPr>
                <w:rFonts w:hint="eastAsia" w:ascii="宋体" w:hAnsi="宋体"/>
                <w:sz w:val="24"/>
              </w:rPr>
            </w:pPr>
            <w:r>
              <w:rPr>
                <w:rFonts w:hint="eastAsia" w:ascii="宋体" w:hAnsi="宋体"/>
                <w:sz w:val="24"/>
              </w:rPr>
              <w:t>规</w:t>
            </w:r>
          </w:p>
          <w:p>
            <w:pPr>
              <w:jc w:val="center"/>
              <w:rPr>
                <w:rFonts w:hint="eastAsia" w:ascii="宋体" w:hAnsi="宋体"/>
                <w:sz w:val="24"/>
              </w:rPr>
            </w:pPr>
            <w:r>
              <w:rPr>
                <w:rFonts w:hint="eastAsia" w:ascii="宋体" w:hAnsi="宋体"/>
                <w:sz w:val="24"/>
              </w:rPr>
              <w:t>范</w:t>
            </w: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1、A、B卷各一套且符合要求</w:t>
            </w:r>
          </w:p>
        </w:tc>
        <w:tc>
          <w:tcPr>
            <w:tcW w:w="345" w:type="pct"/>
            <w:noWrap w:val="0"/>
            <w:vAlign w:val="top"/>
          </w:tcPr>
          <w:p>
            <w:pPr>
              <w:spacing w:line="360" w:lineRule="auto"/>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continue"/>
            <w:noWrap w:val="0"/>
            <w:vAlign w:val="top"/>
          </w:tcPr>
          <w:p>
            <w:pPr>
              <w:spacing w:line="360" w:lineRule="auto"/>
              <w:rPr>
                <w:rFonts w:hint="eastAsia" w:ascii="宋体" w:hAnsi="宋体"/>
                <w:sz w:val="24"/>
              </w:rPr>
            </w:pP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2、标准答案和评分细则各一套且符合要求</w:t>
            </w:r>
          </w:p>
        </w:tc>
        <w:tc>
          <w:tcPr>
            <w:tcW w:w="345" w:type="pct"/>
            <w:noWrap w:val="0"/>
            <w:vAlign w:val="top"/>
          </w:tcPr>
          <w:p>
            <w:pPr>
              <w:spacing w:line="360" w:lineRule="auto"/>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426" w:type="pct"/>
            <w:vMerge w:val="continue"/>
            <w:noWrap w:val="0"/>
            <w:vAlign w:val="top"/>
          </w:tcPr>
          <w:p>
            <w:pPr>
              <w:spacing w:line="360" w:lineRule="auto"/>
              <w:rPr>
                <w:rFonts w:hint="eastAsia" w:ascii="宋体" w:hAnsi="宋体"/>
                <w:sz w:val="24"/>
              </w:rPr>
            </w:pPr>
          </w:p>
        </w:tc>
        <w:tc>
          <w:tcPr>
            <w:tcW w:w="2824" w:type="pct"/>
            <w:gridSpan w:val="2"/>
            <w:noWrap w:val="0"/>
            <w:vAlign w:val="top"/>
          </w:tcPr>
          <w:p>
            <w:pPr>
              <w:spacing w:line="360" w:lineRule="auto"/>
              <w:rPr>
                <w:rFonts w:hint="eastAsia" w:ascii="宋体" w:hAnsi="宋体"/>
                <w:sz w:val="24"/>
              </w:rPr>
            </w:pPr>
            <w:r>
              <w:rPr>
                <w:rFonts w:hint="eastAsia" w:ascii="宋体" w:hAnsi="宋体"/>
                <w:sz w:val="24"/>
              </w:rPr>
              <w:t>3、A3版式且符合排版规范</w:t>
            </w:r>
          </w:p>
        </w:tc>
        <w:tc>
          <w:tcPr>
            <w:tcW w:w="345" w:type="pct"/>
            <w:noWrap w:val="0"/>
            <w:vAlign w:val="top"/>
          </w:tcPr>
          <w:p>
            <w:pPr>
              <w:spacing w:line="360" w:lineRule="auto"/>
              <w:rPr>
                <w:rFonts w:hint="eastAsia" w:ascii="宋体" w:hAnsi="宋体"/>
                <w:sz w:val="24"/>
              </w:rPr>
            </w:pPr>
          </w:p>
        </w:tc>
        <w:tc>
          <w:tcPr>
            <w:tcW w:w="345" w:type="pct"/>
            <w:noWrap w:val="0"/>
            <w:vAlign w:val="top"/>
          </w:tcPr>
          <w:p>
            <w:pPr>
              <w:spacing w:line="360" w:lineRule="auto"/>
              <w:rPr>
                <w:rFonts w:hint="eastAsia" w:ascii="宋体" w:hAnsi="宋体"/>
                <w:sz w:val="24"/>
              </w:rPr>
            </w:pPr>
          </w:p>
        </w:tc>
        <w:tc>
          <w:tcPr>
            <w:tcW w:w="345" w:type="pct"/>
            <w:gridSpan w:val="2"/>
            <w:noWrap w:val="0"/>
            <w:vAlign w:val="top"/>
          </w:tcPr>
          <w:p>
            <w:pPr>
              <w:spacing w:line="360" w:lineRule="auto"/>
              <w:rPr>
                <w:rFonts w:hint="eastAsia" w:ascii="宋体" w:hAnsi="宋体"/>
                <w:sz w:val="24"/>
              </w:rPr>
            </w:pPr>
          </w:p>
        </w:tc>
        <w:tc>
          <w:tcPr>
            <w:tcW w:w="714" w:type="pct"/>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66" w:type="pct"/>
            <w:gridSpan w:val="2"/>
            <w:noWrap w:val="0"/>
            <w:vAlign w:val="center"/>
          </w:tcPr>
          <w:p>
            <w:pPr>
              <w:spacing w:line="360" w:lineRule="auto"/>
              <w:jc w:val="center"/>
              <w:rPr>
                <w:rFonts w:hint="eastAsia" w:ascii="宋体" w:hAnsi="宋体"/>
                <w:sz w:val="24"/>
              </w:rPr>
            </w:pPr>
            <w:r>
              <w:rPr>
                <w:rFonts w:hint="eastAsia" w:ascii="宋体" w:hAnsi="宋体"/>
                <w:sz w:val="24"/>
              </w:rPr>
              <w:t>审核意见</w:t>
            </w:r>
          </w:p>
        </w:tc>
        <w:tc>
          <w:tcPr>
            <w:tcW w:w="3219" w:type="pct"/>
            <w:gridSpan w:val="4"/>
            <w:noWrap w:val="0"/>
            <w:vAlign w:val="top"/>
          </w:tcPr>
          <w:p>
            <w:pPr>
              <w:spacing w:line="360" w:lineRule="auto"/>
              <w:rPr>
                <w:rFonts w:ascii="宋体" w:hAnsi="宋体"/>
                <w:szCs w:val="21"/>
              </w:rPr>
            </w:pPr>
            <w:r>
              <w:rPr>
                <w:rFonts w:hint="eastAsia" w:ascii="宋体" w:hAnsi="宋体"/>
                <w:szCs w:val="21"/>
              </w:rPr>
              <w:t>1、命题和试卷是否符合质量要求和规范要求？</w:t>
            </w:r>
            <w:r>
              <w:rPr>
                <w:rFonts w:hint="eastAsia" w:ascii="宋体" w:hAnsi="宋体"/>
                <w:sz w:val="24"/>
              </w:rPr>
              <w:t>□是　□否</w:t>
            </w:r>
          </w:p>
          <w:p>
            <w:pPr>
              <w:spacing w:line="360" w:lineRule="auto"/>
              <w:rPr>
                <w:rFonts w:ascii="宋体" w:hAnsi="宋体"/>
                <w:sz w:val="24"/>
              </w:rPr>
            </w:pPr>
            <w:r>
              <w:rPr>
                <w:rFonts w:hint="eastAsia" w:ascii="宋体" w:hAnsi="宋体"/>
                <w:sz w:val="24"/>
              </w:rPr>
              <w:t>2、</w:t>
            </w:r>
            <w:r>
              <w:rPr>
                <w:rFonts w:hint="eastAsia" w:ascii="宋体" w:hAnsi="宋体"/>
                <w:szCs w:val="21"/>
              </w:rPr>
              <w:t>命题和试卷是否可以用于课程考核？</w:t>
            </w:r>
            <w:r>
              <w:rPr>
                <w:rFonts w:hint="eastAsia" w:ascii="宋体" w:hAnsi="宋体"/>
                <w:sz w:val="24"/>
              </w:rPr>
              <w:t>□是　□否</w:t>
            </w:r>
          </w:p>
          <w:p>
            <w:pPr>
              <w:spacing w:line="360" w:lineRule="auto"/>
              <w:rPr>
                <w:rFonts w:hint="eastAsia" w:ascii="宋体" w:hAnsi="宋体"/>
                <w:szCs w:val="21"/>
              </w:rPr>
            </w:pPr>
            <w:r>
              <w:rPr>
                <w:rFonts w:hint="eastAsia" w:ascii="宋体" w:hAnsi="宋体"/>
                <w:sz w:val="24"/>
              </w:rPr>
              <w:t>3、</w:t>
            </w:r>
            <w:r>
              <w:rPr>
                <w:rFonts w:hint="eastAsia" w:ascii="宋体" w:hAnsi="宋体"/>
                <w:szCs w:val="21"/>
              </w:rPr>
              <w:t>其它审核意见（可另附页）</w:t>
            </w:r>
          </w:p>
        </w:tc>
        <w:tc>
          <w:tcPr>
            <w:tcW w:w="915" w:type="pct"/>
            <w:gridSpan w:val="2"/>
            <w:noWrap w:val="0"/>
            <w:vAlign w:val="top"/>
          </w:tcPr>
          <w:p>
            <w:pPr>
              <w:spacing w:line="360" w:lineRule="auto"/>
              <w:rPr>
                <w:rFonts w:hint="eastAsia" w:ascii="宋体" w:hAnsi="宋体"/>
                <w:szCs w:val="21"/>
              </w:rPr>
            </w:pPr>
            <w:r>
              <w:rPr>
                <w:rFonts w:hint="eastAsia" w:ascii="宋体" w:hAnsi="宋体"/>
                <w:szCs w:val="21"/>
              </w:rPr>
              <w:t>教研室负责人</w:t>
            </w:r>
          </w:p>
          <w:p>
            <w:pPr>
              <w:spacing w:line="360" w:lineRule="auto"/>
              <w:rPr>
                <w:rFonts w:hint="eastAsia" w:ascii="宋体" w:hAnsi="宋体"/>
                <w:szCs w:val="21"/>
              </w:rPr>
            </w:pPr>
            <w:r>
              <w:rPr>
                <w:rFonts w:hint="eastAsia" w:ascii="宋体" w:hAnsi="宋体"/>
                <w:szCs w:val="21"/>
              </w:rPr>
              <w:t>签字：</w:t>
            </w:r>
          </w:p>
        </w:tc>
      </w:tr>
    </w:tbl>
    <w:p>
      <w:pPr>
        <w:spacing w:line="360" w:lineRule="auto"/>
        <w:rPr>
          <w:rFonts w:hint="eastAsia" w:ascii="宋体" w:hAnsi="宋体"/>
          <w:sz w:val="24"/>
        </w:rPr>
      </w:pPr>
      <w:r>
        <w:rPr>
          <w:rFonts w:hint="eastAsia" w:ascii="宋体" w:hAnsi="宋体"/>
          <w:sz w:val="24"/>
        </w:rPr>
        <w:t>三、审批意见（由院部分管教学领导审批签字）</w:t>
      </w:r>
    </w:p>
    <w:tbl>
      <w:tblPr>
        <w:tblStyle w:val="6"/>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540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550" w:type="dxa"/>
            <w:noWrap w:val="0"/>
            <w:vAlign w:val="center"/>
          </w:tcPr>
          <w:p>
            <w:pPr>
              <w:spacing w:line="360" w:lineRule="auto"/>
              <w:jc w:val="center"/>
              <w:rPr>
                <w:rFonts w:hint="eastAsia" w:ascii="宋体" w:hAnsi="宋体"/>
                <w:sz w:val="24"/>
              </w:rPr>
            </w:pPr>
            <w:r>
              <w:rPr>
                <w:rFonts w:hint="eastAsia" w:ascii="宋体" w:hAnsi="宋体"/>
                <w:sz w:val="24"/>
              </w:rPr>
              <w:t>审批意见</w:t>
            </w:r>
          </w:p>
        </w:tc>
        <w:tc>
          <w:tcPr>
            <w:tcW w:w="5407" w:type="dxa"/>
            <w:noWrap w:val="0"/>
            <w:vAlign w:val="top"/>
          </w:tcPr>
          <w:p>
            <w:pPr>
              <w:spacing w:line="360" w:lineRule="auto"/>
              <w:rPr>
                <w:rFonts w:ascii="宋体" w:hAnsi="宋体"/>
                <w:sz w:val="24"/>
              </w:rPr>
            </w:pPr>
            <w:r>
              <w:rPr>
                <w:rFonts w:hint="eastAsia" w:ascii="宋体" w:hAnsi="宋体"/>
                <w:sz w:val="24"/>
              </w:rPr>
              <w:t>1、是否同意上述审核意见？　　□是　□否</w:t>
            </w:r>
          </w:p>
          <w:p>
            <w:pPr>
              <w:spacing w:line="360" w:lineRule="auto"/>
              <w:rPr>
                <w:rFonts w:ascii="宋体" w:hAnsi="宋体"/>
                <w:sz w:val="24"/>
              </w:rPr>
            </w:pPr>
            <w:r>
              <w:rPr>
                <w:rFonts w:hint="eastAsia" w:ascii="宋体" w:hAnsi="宋体"/>
                <w:sz w:val="24"/>
              </w:rPr>
              <w:t>2、选择哪套试卷用于本次考试　□A卷　□B卷</w:t>
            </w:r>
          </w:p>
          <w:p>
            <w:pPr>
              <w:spacing w:line="360" w:lineRule="auto"/>
              <w:rPr>
                <w:rFonts w:hint="eastAsia" w:ascii="宋体" w:hAnsi="宋体"/>
                <w:sz w:val="24"/>
              </w:rPr>
            </w:pPr>
            <w:r>
              <w:rPr>
                <w:rFonts w:hint="eastAsia" w:ascii="宋体" w:hAnsi="宋体"/>
                <w:sz w:val="24"/>
              </w:rPr>
              <w:t>3、其它审批意见：（可另附页 ）</w:t>
            </w:r>
          </w:p>
        </w:tc>
        <w:tc>
          <w:tcPr>
            <w:tcW w:w="1982" w:type="dxa"/>
            <w:noWrap w:val="0"/>
            <w:vAlign w:val="top"/>
          </w:tcPr>
          <w:p>
            <w:pPr>
              <w:spacing w:line="360" w:lineRule="auto"/>
              <w:rPr>
                <w:rFonts w:hint="eastAsia" w:ascii="宋体" w:hAnsi="宋体"/>
                <w:sz w:val="24"/>
              </w:rPr>
            </w:pPr>
            <w:r>
              <w:rPr>
                <w:rFonts w:hint="eastAsia" w:ascii="宋体" w:hAnsi="宋体"/>
                <w:szCs w:val="21"/>
              </w:rPr>
              <w:t>院（部）分管教学领导签字：</w:t>
            </w:r>
          </w:p>
        </w:tc>
      </w:tr>
    </w:tbl>
    <w:p>
      <w:pPr>
        <w:spacing w:line="360" w:lineRule="auto"/>
        <w:ind w:firstLine="360" w:firstLineChars="150"/>
        <w:rPr>
          <w:rFonts w:hint="eastAsia" w:ascii="宋体" w:hAnsi="宋体"/>
          <w:sz w:val="24"/>
        </w:rPr>
      </w:pPr>
      <w:r>
        <w:rPr>
          <w:rFonts w:hint="eastAsia" w:ascii="宋体" w:hAnsi="宋体"/>
          <w:sz w:val="24"/>
        </w:rPr>
        <w:t>教学秘书签收：　　　　　　　　　　　　　　    年　　月　　日</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731400C"/>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30623D"/>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AB9399C"/>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3320</Words>
  <Characters>3370</Characters>
  <Lines>0</Lines>
  <Paragraphs>0</Paragraphs>
  <TotalTime>2</TotalTime>
  <ScaleCrop>false</ScaleCrop>
  <LinksUpToDate>false</LinksUpToDate>
  <CharactersWithSpaces>3613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